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Nonresidents</w:t>
      </w:r>
    </w:p>
    <w:p>
      <w:pPr>
        <w:jc w:val="both"/>
        <w:spacing w:before="100" w:after="100"/>
        <w:ind w:start="360"/>
        <w:ind w:firstLine="360"/>
      </w:pPr>
      <w:r>
        <w:rPr/>
      </w:r>
      <w:r>
        <w:rPr/>
      </w:r>
      <w:r>
        <w:t xml:space="preserve">If an employee receiving weekly payments under this Act ceases to reside in the State or if the employee's residence at the time of the injury is in another state, the board upon application of either party may, in its discretion, having regard to the welfare of the employee and the convenience of the employer, authorize payments to be made monthly or quarterly instead of weekly.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§351.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