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Payment to the Workers' Compensation Board Administrative Fund; enforcement</w:t>
      </w:r>
    </w:p>
    <w:p>
      <w:pPr>
        <w:jc w:val="both"/>
        <w:spacing w:before="100" w:after="0"/>
        <w:ind w:start="360"/>
        <w:ind w:firstLine="360"/>
      </w:pPr>
      <w:r>
        <w:rPr>
          <w:b/>
        </w:rPr>
        <w:t>1</w:t>
        <w:t xml:space="preserve">.  </w:t>
      </w:r>
      <w:r>
        <w:rPr>
          <w:b/>
        </w:rPr>
        <w:t xml:space="preserve">Payment.</w:t>
        <w:t xml:space="preserve"> </w:t>
      </w:r>
      <w:r>
        <w:t xml:space="preserve"> </w:t>
      </w:r>
      <w:r>
        <w:t xml:space="preserve">All penalties assessed under this Act are payable to the Workers' Compensation Board Administrative Fund, unless otherwise provided by law.  Upon certification by the board that certain amounts in the Workers' Compensation Board Administrative Fund attributable to penalties assessed pursuant to this Act are not required to support the activities of the board, the Treasurer of State shall transfer funds in the amount certified by the board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w:pPr>
        <w:jc w:val="both"/>
        <w:spacing w:before="100" w:after="100"/>
        <w:ind w:start="360"/>
        <w:ind w:firstLine="360"/>
      </w:pPr>
      <w:r>
        <w:rPr>
          <w:b/>
        </w:rPr>
        <w:t>2</w:t>
        <w:t xml:space="preserve">.  </w:t>
      </w:r>
      <w:r>
        <w:rPr>
          <w:b/>
        </w:rPr>
        <w:t xml:space="preserve">Enforcement and collection.</w:t>
        <w:t xml:space="preserve"> </w:t>
      </w:r>
      <w:r>
        <w:t xml:space="preserve"> </w:t>
      </w:r>
      <w:r>
        <w:t xml:space="preserve">All penalties assessed under this Act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payable to the Workers' Compensation Board Administrative Fund, Employment Rehabilitation Fund or General Fund,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w:pPr>
        <w:jc w:val="both"/>
        <w:spacing w:before="100" w:after="0"/>
        <w:ind w:start="720"/>
      </w:pPr>
      <w:r>
        <w:rPr/>
        <w:t>B</w:t>
        <w:t xml:space="preserve">.  </w:t>
      </w:r>
      <w:r>
        <w:rPr/>
      </w:r>
      <w:r>
        <w:t xml:space="preserve">If a person fails to pay a penalty assessed under this Act that is payable to the Workers' Compensation Board Administrative Fund, Employment Rehabilitation Fund or General Fund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Act must be doubled.</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§6 (NEW). PL 2007, c. 26,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 Payment to the Workers' Compensation Board Administrative Fund;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Payment to the Workers' Compensation Board Administrative Fund;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§361. PAYMENT TO THE WORKERS' COMPENSATION BOARD ADMINISTRATIVE FUND;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