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SUBSTANCE USE DISORDER TREATMENT PROGRAMS</w:t>
      </w:r>
    </w:p>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To reduce the overcrowding of prisons.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w:t>
      </w:r>
    </w:p>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SUBSTANCE USE DISORDER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SUBSTANCE USE DISORDER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 SUBSTANCE USE DISORDER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