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 Government Operations Surcharge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Government Operations Surcharge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§1057. GOVERNMENT OPERATIONS SURCHARGE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