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Seal; form of summonses, writs and processes; facsimile signature of clerk</w:t>
      </w:r>
    </w:p>
    <w:p>
      <w:pPr>
        <w:jc w:val="both"/>
        <w:spacing w:before="100" w:after="100"/>
        <w:ind w:start="360"/>
        <w:ind w:firstLine="360"/>
      </w:pPr>
      <w:r>
        <w:rPr/>
      </w:r>
      <w:r>
        <w:rPr/>
      </w:r>
      <w:r>
        <w:t xml:space="preserve">The Justices of the Superior Court shall establish a seal for said court. All summonses, writs and other processes of said court shall be in the name of the State under the seal of said court. They shall be signed by any one of the clerks and obeyed and executed throughout the State. The clerk in any county may sign and issue any such summons, writ or other process for an action in the Superior Court in any other county in which the action might legally be brought. A facsimile of the signature of the clerks of the Superior Courts imprinted by or at their direction upon any writ, summons, subpoena, order or notice or order of attachment, except executions and criminal process, shall have the same validity as their written signature.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Seal; form of summonses, writs and processes; facsimile signature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Seal; form of summonses, writs and processes; facsimile signature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§108. SEAL; FORM OF SUMMONSES, WRITS AND PROCESSES; FACSIMILE SIGNATURE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