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2017, c. 402, Pt. C, §7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 Beneficiaries under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Beneficiaries under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§1204. BENEFICIARIES UNDER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