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Divorce</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is granted a divorce either after retirement or before a retirement beneficiary is named, </w:t>
      </w:r>
      <w:r>
        <w:t>subsections 1</w:t>
      </w:r>
      <w:r>
        <w:t xml:space="preserve"> to </w:t>
      </w:r>
      <w:r>
        <w:t>4</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1999, c. 744, §5 (AMD); PL 1999, c. 744, §17 (AFF).]</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§6 (AMD); PL 1999, c. 744, §17 (AFF).]</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executive director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§9 (AMD).]</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§2 (NEW). PL 1999, c. 744, §§5,6 (AMD). PL 1999, c. 744, §17 (AFF). PL 2007, c. 249,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§1361.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§1361.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