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§1610-P. Additional securities for capital repairs, improvements and construction and hazardous waste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§1610-P. Additional securities for capital repairs, improvements and construction and hazardous waste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§1610-P. ADDITIONAL SECURITIES FOR CAPITAL REPAIRS, IMPROVEMENTS AND CONSTRUCTION AND HAZARDOUS WASTE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