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Equity jurisdiction</w:t>
      </w:r>
    </w:p>
    <w:p>
      <w:pPr>
        <w:jc w:val="both"/>
        <w:spacing w:before="100" w:after="100"/>
        <w:ind w:start="360"/>
        <w:ind w:firstLine="360"/>
      </w:pPr>
      <w:r>
        <w:rPr/>
      </w:r>
      <w:r>
        <w:rPr/>
      </w:r>
      <w:r>
        <w:t xml:space="preserve">The courts of probate shall have jurisdiction in equity, concurrent with the Superior Court, of all cases and matters relating to the administration of the estates of deceased persons, to wills and to trusts which are created by will or other written instrument. Such jurisdiction may be exercised upon complaint according to the usual course of proceedings in civil actions in which equitable relief is sought.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 Equity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Equity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§252. EQUITY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