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Preservation of briefs</w:t>
      </w:r>
    </w:p>
    <w:p>
      <w:pPr>
        <w:jc w:val="both"/>
        <w:spacing w:before="100" w:after="100"/>
        <w:ind w:start="360"/>
        <w:ind w:firstLine="360"/>
      </w:pPr>
      <w:r>
        <w:rPr/>
      </w:r>
      <w:r>
        <w:rPr/>
      </w:r>
      <w:r>
        <w:t xml:space="preserve">The clerk of the Supreme Judicial Court shall preserve 2 complete sets of briefs in all cases decided in the Supreme Judicial Court sitting as the Law Court. The clerk shall provide complete sets of the briefs to the law library of Cumberland County and to the Law and Legislative Reference Library, either by delivering a physical set to each library or by delivering or providing access to an electronic copy of the briefs. All expenses incurred in preparation and delivery of these briefs must be paid by the State from the appropriation for expenses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223,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 (RPR). PL 1979, c. 13, §§3-A,3-B (AMD). PL 1983, c. 164 (AMD). PL 2017, c. 223,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 Preservation of briefs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Preservation of briefs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 PRESERVATION OF BRIEFS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