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776</w:t>
        <w:t xml:space="preserve">.  </w:t>
      </w:r>
      <w:r>
        <w:rPr>
          <w:b/>
        </w:rPr>
        <w:t xml:space="preserve">Exception; governmental entities</w:t>
      </w:r>
    </w:p>
    <w:p>
      <w:pPr>
        <w:jc w:val="both"/>
        <w:spacing w:before="100" w:after="100"/>
        <w:ind w:start="360"/>
        <w:ind w:firstLine="360"/>
      </w:pPr>
      <w:r>
        <w:rPr/>
      </w:r>
      <w:r>
        <w:rPr/>
      </w:r>
      <w:r>
        <w:t xml:space="preserve">Notwithstanding  </w:t>
      </w:r>
      <w:r>
        <w:t>section 773</w:t>
      </w:r>
      <w:r>
        <w:t xml:space="preserve">, if authorized or required by law, ordinance or rule, a governmental entity may obtain court reporting services on a long-term basis through competitive bidding.</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§776. Exception; governmental entities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§776. Exception; governmental entities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§776. EXCEPTION; GOVERNMENTAL ENTITIES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