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False advertising or representation to be an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§859. FALSE ADVERTISING OR REPRESENTATION TO BE AN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