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11008</w:t>
        <w:t xml:space="preserve">.  </w:t>
      </w:r>
      <w:r>
        <w:rPr>
          <w:b/>
        </w:rPr>
        <w:t xml:space="preserve">Appeal to law court</w:t>
      </w:r>
    </w:p>
    <w:p>
      <w:pPr>
        <w:jc w:val="both"/>
        <w:spacing w:before="100" w:after="0"/>
        <w:ind w:start="360"/>
        <w:ind w:firstLine="360"/>
      </w:pPr>
      <w:r>
        <w:rPr>
          <w:b/>
        </w:rPr>
        <w:t>1</w:t>
        <w:t xml:space="preserve">.  </w:t>
      </w:r>
      <w:r>
        <w:rPr>
          <w:b/>
        </w:rPr>
        <w:t xml:space="preserve">Appeal.</w:t>
        <w:t xml:space="preserve"> </w:t>
      </w:r>
      <w:r>
        <w:t xml:space="preserve"> </w:t>
      </w:r>
      <w:r>
        <w:t xml:space="preserve">Any party to the review proceeding in the Superior Court under this subchapter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The Supreme Judicial Court shall have the power to make and amend rules of pleading, practice and procedure, for the purposes of securing a simple, speedy and effective judicial review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§11008. Appeal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§11008. Appeal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§11008. APPEAL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