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12004-C</w:t>
        <w:t xml:space="preserve">.  </w:t>
      </w:r>
      <w:r>
        <w:rPr>
          <w:b/>
        </w:rPr>
        <w:t xml:space="preserve">Educational policy boards</w:t>
      </w:r>
    </w:p>
    <w:p>
      <w:pPr>
        <w:jc w:val="both"/>
        <w:spacing w:before="100" w:after="100"/>
        <w:ind w:start="360"/>
        <w:ind w:firstLine="360"/>
      </w:pPr>
      <w:r>
        <w:rPr/>
      </w:r>
      <w:r>
        <w:rPr/>
      </w:r>
      <w:r>
        <w:t xml:space="preserve">The primary responsibilities of the boards in this section include the formulation of educational policy; review and evaluation of educational policy; and the administration of educational institutions.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center"/>
            </w:pPr>
            <w:r>
              <w:t xml:space="preserve">NAME OF ORGANIZATION</w:t>
            </w:r>
          </w:p>
        </w:tc>
        <w:tc>
          <w:tcPr>
            <w:tcW w:w="2434" w:type="dxa"/>
          </w:tcPr>
          <w:p>
            <w:pPr>
              <w:jc w:val="center"/>
            </w:pPr>
            <w:r>
              <w:t xml:space="preserve">RATE OF COMPENSATION</w:t>
            </w:r>
          </w:p>
        </w:tc>
        <w:tc>
          <w:tcPr>
            <w:tcW w:w="2074" w:type="dxa"/>
          </w:tcPr>
          <w:p>
            <w:pPr>
              <w:jc w:val="center"/>
            </w:pPr>
            <w:r>
              <w:t xml:space="preserve">STATUTORY REFERENCE</w:t>
            </w:r>
          </w:p>
        </w:tc>
      </w:tr>
    </w:tbl>
    <w:p>
      <w:pPr>
        <w:jc w:val="both"/>
        <w:spacing w:before="100" w:after="0"/>
        <w:ind w:start="360"/>
        <w:ind w:firstLine="360"/>
      </w:pPr>
      <w:r>
        <w:rPr>
          <w:b/>
        </w:rPr>
        <w:t>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Education</w:t>
            </w:r>
          </w:p>
        </w:tc>
        <w:tc>
          <w:tcPr>
            <w:tcW w:w="2434" w:type="dxa"/>
          </w:tcPr>
          <w:p>
            <w:pPr>
              <w:jc w:val="left"/>
            </w:pPr>
            <w:r>
              <w:t xml:space="preserve">Legislative Per Diem and Expenses</w:t>
            </w:r>
          </w:p>
        </w:tc>
        <w:tc>
          <w:tcPr>
            <w:tcW w:w="2074" w:type="dxa"/>
          </w:tcPr>
          <w:p>
            <w:pPr>
              <w:jc w:val="right"/>
            </w:pPr>
            <w:r>
              <w:t>20‑A MRSA §401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HHH, §1 (AMD).]</w:t>
      </w:r>
    </w:p>
    <w:p>
      <w:pPr>
        <w:jc w:val="both"/>
        <w:spacing w:before="100" w:after="0"/>
        <w:ind w:start="360"/>
        <w:ind w:firstLine="360"/>
      </w:pPr>
      <w:r>
        <w:rPr>
          <w:b/>
        </w:rPr>
        <w:t>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Trustees, University of Maine System</w:t>
            </w:r>
          </w:p>
        </w:tc>
        <w:tc>
          <w:tcPr>
            <w:tcW w:w="2434" w:type="dxa"/>
          </w:tcPr>
          <w:p>
            <w:pPr>
              <w:jc w:val="left"/>
            </w:pPr>
            <w:r>
              <w:t xml:space="preserve">Expenses Only</w:t>
            </w:r>
          </w:p>
        </w:tc>
        <w:tc>
          <w:tcPr>
            <w:tcW w:w="2074" w:type="dxa"/>
          </w:tcPr>
          <w:p>
            <w:pPr>
              <w:jc w:val="right"/>
            </w:pPr>
            <w:r>
              <w:t xml:space="preserve">P&amp;SL 1865, c. 532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Trustees, Maine Community College System</w:t>
            </w:r>
          </w:p>
        </w:tc>
        <w:tc>
          <w:tcPr>
            <w:tcW w:w="2434" w:type="dxa"/>
          </w:tcPr>
          <w:p>
            <w:pPr>
              <w:jc w:val="left"/>
            </w:pPr>
            <w:r>
              <w:t xml:space="preserve">Legislative Per Diem</w:t>
            </w:r>
          </w:p>
        </w:tc>
        <w:tc>
          <w:tcPr>
            <w:tcW w:w="2074" w:type="dxa"/>
          </w:tcPr>
          <w:p>
            <w:pPr>
              <w:jc w:val="right"/>
            </w:pPr>
            <w:r>
              <w:t>20‑A MRSA §12705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§14 (AMD); PL 2003, c. 20, Pt. OO, §2 (AMD); PL 2003, c. 20, Pt. OO, §4 (AFF).]</w:t>
      </w:r>
    </w:p>
    <w:p>
      <w:pPr>
        <w:jc w:val="both"/>
        <w:spacing w:before="100" w:after="0"/>
        <w:ind w:start="360"/>
        <w:ind w:firstLine="360"/>
      </w:pPr>
      <w:r>
        <w:rPr>
          <w:b/>
        </w:rPr>
        <w:t>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Trustees, Maine Maritime Academy</w:t>
            </w:r>
          </w:p>
        </w:tc>
        <w:tc>
          <w:tcPr>
            <w:tcW w:w="2434" w:type="dxa"/>
          </w:tcPr>
          <w:p>
            <w:pPr>
              <w:jc w:val="left"/>
            </w:pPr>
            <w:r>
              <w:t xml:space="preserve">Expenses Only</w:t>
            </w:r>
          </w:p>
        </w:tc>
        <w:tc>
          <w:tcPr>
            <w:tcW w:w="2074" w:type="dxa"/>
          </w:tcPr>
          <w:p>
            <w:pPr>
              <w:jc w:val="right"/>
            </w:pPr>
            <w:r>
              <w:t xml:space="preserve">P&amp;SL 1941, c. 37</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Trustees, Maine Criminal Justice Academy</w:t>
            </w:r>
          </w:p>
        </w:tc>
        <w:tc>
          <w:tcPr>
            <w:tcW w:w="2434" w:type="dxa"/>
          </w:tcPr>
          <w:p>
            <w:pPr>
              <w:jc w:val="left"/>
            </w:pPr>
            <w:r>
              <w:t xml:space="preserve">Expenses Only</w:t>
            </w:r>
          </w:p>
        </w:tc>
        <w:tc>
          <w:tcPr>
            <w:tcW w:w="2074" w:type="dxa"/>
          </w:tcPr>
          <w:p>
            <w:pPr>
              <w:jc w:val="right"/>
            </w:pPr>
            <w:r>
              <w:t>25 MRSA §2802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Trustees, Maine School of Science and Mathematics</w:t>
            </w:r>
          </w:p>
        </w:tc>
        <w:tc>
          <w:tcPr>
            <w:tcW w:w="2434" w:type="dxa"/>
          </w:tcPr>
          <w:p>
            <w:pPr>
              <w:jc w:val="left"/>
            </w:pPr>
            <w:r>
              <w:t xml:space="preserve">Expenses Only</w:t>
            </w:r>
          </w:p>
        </w:tc>
        <w:tc>
          <w:tcPr>
            <w:tcW w:w="2074" w:type="dxa"/>
          </w:tcPr>
          <w:p>
            <w:pPr>
              <w:jc w:val="right"/>
            </w:pPr>
            <w:r>
              <w:t>20‑A MRSA §8204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§1 (NEW).]</w:t>
      </w:r>
    </w:p>
    <w:p>
      <w:pPr>
        <w:jc w:val="both"/>
        <w:spacing w:before="100" w:after="0"/>
        <w:ind w:start="360"/>
        <w:ind w:firstLine="360"/>
      </w:pPr>
      <w:r>
        <w:rPr>
          <w:b/>
        </w:rPr>
        <w:t>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School Board of the Maine Educational Center </w:t>
            </w:r>
          </w:p>
          <w:p>
            <w:pPr>
              <w:jc w:val="left"/>
            </w:pPr>
            <w:r>
              <w:t xml:space="preserve">for the Deaf and Hard of Hearing and the Governor Baxter School for the Deaf</w:t>
            </w:r>
          </w:p>
        </w:tc>
        <w:tc>
          <w:tcPr>
            <w:tcW w:w="2434" w:type="dxa"/>
          </w:tcPr>
          <w:p>
            <w:pPr>
              <w:jc w:val="left"/>
            </w:pPr>
            <w:r>
              <w:t xml:space="preserve">Legislative Per Diem and Expenses</w:t>
            </w:r>
          </w:p>
        </w:tc>
        <w:tc>
          <w:tcPr>
            <w:tcW w:w="2074" w:type="dxa"/>
          </w:tcPr>
          <w:p>
            <w:pPr>
              <w:jc w:val="right"/>
            </w:pPr>
            <w:r>
              <w:t>20‑A MRSA §7406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§11 (AMD).]</w:t>
      </w:r>
    </w:p>
    <w:p>
      <w:pPr>
        <w:jc w:val="both"/>
        <w:spacing w:before="100" w:after="0"/>
        <w:ind w:start="360"/>
        <w:ind w:firstLine="360"/>
      </w:pPr>
      <w:r>
        <w:rPr>
          <w:b/>
        </w:rPr>
        <w:t>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Science, Technology, Engineering and Mathematics Council</w:t>
            </w:r>
          </w:p>
        </w:tc>
        <w:tc>
          <w:tcPr>
            <w:tcW w:w="2434" w:type="dxa"/>
          </w:tcPr>
          <w:p>
            <w:pPr>
              <w:jc w:val="left"/>
            </w:pPr>
            <w:r>
              <w:t xml:space="preserve">Expenses Only</w:t>
            </w:r>
          </w:p>
        </w:tc>
        <w:tc>
          <w:tcPr>
            <w:tcW w:w="2074" w:type="dxa"/>
          </w:tcPr>
          <w:p>
            <w:pPr>
              <w:jc w:val="right"/>
            </w:pPr>
            <w:r>
              <w:t>20‑A MRSA §11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346, §1 (NEW).]</w:t>
      </w:r>
    </w:p>
    <w:p>
      <w:pPr>
        <w:jc w:val="both"/>
        <w:spacing w:before="100" w:after="0"/>
        <w:ind w:start="360"/>
        <w:ind w:firstLine="360"/>
      </w:pPr>
      <w:r>
        <w:rPr>
          <w:b/>
        </w:rPr>
        <w:t>9</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Trustees, Maine School for Marine Science, Technology, Transportation and Engineering</w:t>
            </w:r>
          </w:p>
        </w:tc>
        <w:tc>
          <w:tcPr>
            <w:tcW w:w="2434" w:type="dxa"/>
          </w:tcPr>
          <w:p>
            <w:pPr>
              <w:jc w:val="left"/>
            </w:pPr>
            <w:r>
              <w:t xml:space="preserve">Expenses Only</w:t>
            </w:r>
          </w:p>
        </w:tc>
        <w:tc>
          <w:tcPr>
            <w:tcW w:w="2074" w:type="dxa"/>
          </w:tcPr>
          <w:p>
            <w:pPr>
              <w:jc w:val="right"/>
            </w:pPr>
            <w:r>
              <w:t>20‑A MRSA §8234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1989, c. 443, §14 (AMD). PL 1993, c. 706, §A1 (AMD). PL 1995, c. 676, §1 (AMD). PL 1995, c. 676, §13 (AFF). PL 2003, c. 20, Pt. OO, §2 (AMD). PL 2007, c. 20, Pt. OO, §4 (AFF). PL 2011, c. 346, §1 (AMD). PL 2013, c. 368, Pt. HHH, §1 (AMD). PL 2015, c. 363, §2 (AMD). PL 2021, c. 293, Pt. A,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§12004-C. Educational policy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§12004-C. Educational policy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§12004-C. EDUCATIONAL POLICY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