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12004-E</w:t>
        <w:t xml:space="preserve">.  </w:t>
      </w:r>
      <w:r>
        <w:rPr>
          <w:b/>
        </w:rPr>
        <w:t xml:space="preserve">Budget and rate regulation</w:t>
      </w:r>
    </w:p>
    <w:p>
      <w:pPr>
        <w:jc w:val="both"/>
        <w:spacing w:before="100" w:after="100"/>
        <w:ind w:start="360"/>
        <w:ind w:firstLine="360"/>
      </w:pPr>
      <w:r>
        <w:rPr/>
      </w:r>
      <w:r>
        <w:rPr/>
      </w:r>
      <w:r>
        <w:t xml:space="preserve">The primary responsibilities of rate regulation boards include the setting of revenue or budget ceilings and the setting of prices or rates for commodities or services provided statewide.  In addition to the power to hold hearings, adopt rules, establish policies and procedures, these boards may determine revenue limits, establish prices, conduct investigations and initiate action to revoke or suspend licenses and permits.</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p>
      <w:pPr>
        <w:jc w:val="both"/>
        <w:spacing w:before="100" w:after="100"/>
        <w:ind w:start="360"/>
        <w:ind w:firstLine="360"/>
      </w:pPr>
      <w:r>
        <w:rPr/>
      </w:r>
      <w:r>
        <w:rPr/>
      </w:r>
      <w:r>
        <w:t xml:space="preserve">This classification includes the following.</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center"/>
            </w:pPr>
            <w:r>
              <w:t xml:space="preserve">NAME OF ORGANIZATION</w:t>
            </w:r>
          </w:p>
        </w:tc>
        <w:tc>
          <w:tcPr>
            <w:tcW w:w="2434" w:type="dxa"/>
          </w:tcPr>
          <w:p>
            <w:pPr>
              <w:jc w:val="center"/>
            </w:pPr>
            <w:r>
              <w:t xml:space="preserve">RATE OF COMPENSATION</w:t>
            </w:r>
          </w:p>
        </w:tc>
        <w:tc>
          <w:tcPr>
            <w:tcW w:w="2074" w:type="dxa"/>
          </w:tcPr>
          <w:p>
            <w:pPr>
              <w:jc w:val="center"/>
            </w:pPr>
            <w:r>
              <w:t xml:space="preserve">STATUTORY REFERENCE</w:t>
            </w:r>
          </w:p>
        </w:tc>
      </w:tr>
    </w:tbl>
    <w:p>
      <w:pPr>
        <w:jc w:val="both"/>
        <w:spacing w:before="100" w:after="0"/>
        <w:ind w:start="360"/>
        <w:ind w:firstLine="360"/>
      </w:pPr>
      <w:r>
        <w:rPr>
          <w:b/>
        </w:rPr>
        <w:t>1</w:t>
        <w:t xml:space="preserve">.  </w:t>
      </w:r>
      <w:r>
        <w:rPr>
          <w:b/>
        </w:rPr>
        <w:t xml:space="preserve">Maine Health Care Finance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B, §1 (RP); PL 1995, c. 653, Pt. B, §8 (AFF).]</w:t>
      </w:r>
    </w:p>
    <w:p>
      <w:pPr>
        <w:jc w:val="both"/>
        <w:spacing w:before="100" w:after="0"/>
        <w:ind w:start="360"/>
        <w:ind w:firstLine="360"/>
      </w:pPr>
      <w:r>
        <w:rPr>
          <w:b/>
        </w:rPr>
        <w:t>2</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Maine Milk Commission</w:t>
            </w:r>
          </w:p>
        </w:tc>
        <w:tc>
          <w:tcPr>
            <w:tcW w:w="2434" w:type="dxa"/>
          </w:tcPr>
          <w:p>
            <w:pPr>
              <w:jc w:val="left"/>
            </w:pPr>
            <w:r>
              <w:t xml:space="preserve">Legislative Per Diem</w:t>
            </w:r>
          </w:p>
        </w:tc>
        <w:tc>
          <w:tcPr>
            <w:tcW w:w="2074" w:type="dxa"/>
          </w:tcPr>
          <w:p>
            <w:pPr>
              <w:jc w:val="right"/>
            </w:pPr>
            <w:r>
              <w:t>7 MRSA §2952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100"/>
        <w:ind w:start="360"/>
        <w:ind w:firstLine="360"/>
      </w:pPr>
      <w:r>
        <w:rPr>
          <w:b/>
        </w:rPr>
        <w:t>3</w:t>
        <w:t xml:space="preserve">.  </w:t>
      </w:r>
      <w:r>
        <w:rPr>
          <w:b/>
        </w:rPr>
        <w:t xml:space="preserve">State Liquor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 PL 1995, c. 653, §B1 (AMD). PL 1995, c. 653, §B8 (AFF). PL 1997, c. 373,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§12004-E. Budget and rate regulation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§12004-E. Budget and rate regulation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§12004-E. BUDGET AND RATE REGULATION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