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Governor may require new bond</w:t>
      </w:r>
    </w:p>
    <w:p>
      <w:pPr>
        <w:jc w:val="both"/>
        <w:spacing w:before="100" w:after="100"/>
        <w:ind w:start="360"/>
        <w:ind w:firstLine="360"/>
      </w:pPr>
      <w:r>
        <w:rPr/>
      </w:r>
      <w:r>
        <w:rPr/>
      </w:r>
      <w:r>
        <w:t xml:space="preserve">When it appears to the Governor that the Treasurer of State's bond is not sufficient for the full security of the State, they shall make written demand upon him for a new bond. If he neglects for 10 days thereafter to file such bond to their satisfaction, they shall remove him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[PL 1975, c. 771,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§124. Governor may require new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Governor may require new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§124. GOVERNOR MAY REQUIRE NEW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