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 Attorney General to prosecute violations</w:t>
      </w:r>
    </w:p>
    <w:p>
      <w:pPr>
        <w:jc w:val="both"/>
        <w:spacing w:before="100" w:after="100"/>
        <w:ind w:start="360"/>
        <w:ind w:firstLine="360"/>
      </w:pPr>
      <w:r>
        <w:rPr/>
      </w:r>
      <w:r>
        <w:rPr/>
      </w:r>
      <w:r>
        <w:t xml:space="preserve">When the Attorney General receives satisfactory information that the Treasurer of State has violated any provision of </w:t>
      </w:r>
      <w:r>
        <w:t>section 125</w:t>
      </w:r>
      <w:r>
        <w:t xml:space="preserve">, he shall cause him to be indicted therefor and shall prosecute such indictment to final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§126. -- Attorney General to prosecute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 Attorney General to prosecute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§126. -- ATTORNEY GENERAL TO PROSECUTE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