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13033</w:t>
        <w:t xml:space="preserve">.  </w:t>
      </w:r>
      <w:r>
        <w:rPr>
          <w:b/>
        </w:rPr>
        <w:t xml:space="preserve">Membership</w:t>
      </w:r>
    </w:p>
    <w:p>
      <w:pPr>
        <w:jc w:val="both"/>
        <w:spacing w:before="100" w:after="100"/>
        <w:ind w:start="360"/>
        <w:ind w:firstLine="360"/>
      </w:pPr>
      <w:r>
        <w:rPr/>
      </w:r>
      <w:r>
        <w:rPr/>
      </w:r>
      <w:r>
        <w:t xml:space="preserve">The commission consists of 9 members:  the Chief Executive Officer of the Finance Authority of Maine or the chief executive officer's designee; the Commissioner of Economic and Community Development or the commissioner's designee; the House and Senate chairs of the joint standing committee of the Legislature having jurisdiction over business, research and economic development matters, who are ex officio, nonvoting members; the chair of the Small Business Development Centers Advisory Council; and a designee from the administrative unit and 3 public members with expertise and knowledge in small business and entrepreneurship, appointed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585,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§§L2,4 (NEW). PL 2001, c. 142, §2 (AMD). PL 2003, c. 681, §5 (AMD). PL 2005, c. 425, §3 (AMD). PL 2007, c. 585,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§13033.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§13033.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§13033.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