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13083-I</w:t>
        <w:t xml:space="preserve">.  </w:t>
      </w:r>
      <w:r>
        <w:rPr>
          <w:b/>
        </w:rPr>
        <w:t xml:space="preserve">Midcoast Regional Redevelopment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Adopt bylaws or rules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Provide for the public safety by imposing appropriate rules, regulating appropriate use of the base facilities and enforcing laws and rules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base facility;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11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are appointed to 2-year terms, 2 trustees are appointed to 3-year terms, 2 trustees are appointed to 4-year terms and the commissioner designated pursuant to </w:t>
      </w:r>
      <w:r>
        <w:t>paragraph D</w:t>
      </w:r>
      <w:r>
        <w:t xml:space="preserve"> serves at the pleasure of the Governor.  A vacancy must be filled in the same manner as the original appointment for the balance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Governor shall make 10 appointments, of which no fewer than 7 must be from candidates who are residents of Androscoggin County, Cumberland County and Sagadahoc County and are nominated by the primary impact communities.  The Governor shall appoint members who reflect the diversity of interests represented by these communities.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member appointed to the board of trustees may not hold an elected office in municipal, county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Quorum.</w:t>
        <w:t xml:space="preserve"> </w:t>
      </w:r>
      <w:r>
        <w:t xml:space="preserve"> </w:t>
      </w:r>
      <w:r>
        <w:t xml:space="preserve">Six members constitute a quorum.  Six affirmative votes are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A member of the board of trustees or an employee of the authority is not subject to any personal liability for having acted in the service of the member's or employee's duty as a member of the board or an employee of the authority within the course and scope of membership or employment to carry out a power or duty under this article.  The authority shall indemnify a member of the board or an employee of the authority against expenses actually and necessarily incurred in connection with the defense of an action or proceeding in which a member of the board or an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§2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board of trustees shall elect a chair and vice-chair from among its members.  The authority may employ an executive director, technical experts and other agents and employees, permanent and temporary, that it requires and may determine their qualifications, duties and compensation.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§13083-I. Midcoast Regional Redevelopment Authority; powers; membership;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§13083-I. Midcoast Regional Redevelopment Authority; powers; membership;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§13083-I. MIDCOAST REGIONAL REDEVELOPMENT AUTHORITY; POWERS; MEMBERSHIP;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