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131-B</w:t>
        <w:t xml:space="preserve">.  </w:t>
      </w:r>
      <w:r>
        <w:rPr>
          <w:b/>
        </w:rPr>
        <w:t xml:space="preserve">Interfund transfers</w:t>
      </w:r>
    </w:p>
    <w:p>
      <w:pPr>
        <w:jc w:val="both"/>
        <w:spacing w:before="100" w:after="100"/>
        <w:ind w:start="360"/>
        <w:ind w:firstLine="360"/>
      </w:pPr>
      <w:r>
        <w:rPr/>
      </w:r>
      <w:r>
        <w:rPr/>
      </w:r>
      <w:r>
        <w:t xml:space="preserve">In order that state obligations may be paid as they come due, the State Treasurer may request the State Controller to transfer funds on deposit among the various funds in the cash pool of State Government by journal entry in such manner as to best manage the available funds to meet current obligations of the various funds and accounts.</w:t>
      </w:r>
      <w:r>
        <w:t xml:space="preserve">  </w:t>
      </w:r>
      <w:r xmlns:wp="http://schemas.openxmlformats.org/drawingml/2010/wordprocessingDrawing" xmlns:w15="http://schemas.microsoft.com/office/word/2012/wordml">
        <w:rPr>
          <w:rFonts w:ascii="Arial" w:hAnsi="Arial" w:cs="Arial"/>
          <w:sz w:val="22"/>
          <w:szCs w:val="22"/>
        </w:rPr>
        <w:t xml:space="preserve">[PL 2005, c. 386, Pt. CC,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§CC1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§131-B. Interfund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§131-B. Interfund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§131-B. INTERFUND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