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13120-E</w:t>
        <w:t xml:space="preserve">.  </w:t>
      </w:r>
      <w:r>
        <w:rPr>
          <w:b/>
        </w:rPr>
        <w:t xml:space="preserve">Agreements; contracts</w:t>
      </w:r>
    </w:p>
    <w:p>
      <w:pPr>
        <w:jc w:val="both"/>
        <w:spacing w:before="100" w:after="100"/>
        <w:ind w:start="360"/>
        <w:ind w:firstLine="360"/>
      </w:pPr>
      <w:r>
        <w:rPr/>
      </w:r>
      <w:r>
        <w:rPr/>
      </w:r>
      <w:r>
        <w:t xml:space="preserve">The authority, the department and the Finance Authority of Maine may enter into such agreements as the board of trustees determines to be in the best interests of the State for the authority to acquire, construct, maintain, operate and dispose of any or all facilities funded from bonds issued under </w:t>
      </w:r>
      <w:r>
        <w:t>section 13120‑I</w:t>
      </w:r>
      <w:r>
        <w:t xml:space="preserve">.  Any agreements must set forth the terms and conditions of the operation and be subject to all the terms and conditions of any trust indenture and covenants relating to revenue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contract with the Federal Government or its instrumentalities or agencies, this State or its agencies, instrumentalities or municipalities, public bodies, private corporations, community development corporations, partnerships, associations and individuals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§13120-E. Agreements;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§13120-E. Agreements;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§13120-E. AGREEMENTS;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