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1509-A</w:t>
        <w:t xml:space="preserve">.  </w:t>
      </w:r>
      <w:r>
        <w:rPr>
          <w:b/>
        </w:rPr>
        <w:t xml:space="preserve">Payment by credit card</w:t>
      </w:r>
    </w:p>
    <w:p>
      <w:pPr>
        <w:jc w:val="both"/>
        <w:spacing w:before="100" w:after="100"/>
        <w:ind w:start="360"/>
        <w:ind w:firstLine="360"/>
      </w:pPr>
      <w:r>
        <w:rPr/>
      </w:r>
      <w:r>
        <w:rPr/>
      </w:r>
      <w:r>
        <w:t xml:space="preserve">State departments and agencies shall implement, with the approval of the State Controller and the State Treasurer, procedures for accepting payment for goods, services, taxes, fines, charges or any other fees by credit card, debit card or other electronic means.  Unless otherwise provided for in law, a state department or agency may impose a surcharge, including a service fee, for payments made by credit card or debit card for taxes, fines, charges, utility fees, regulatory fees, registration fees, license or permit fees or the provision of a specific service or good provided by that state department or agency in accordance with the provisions of </w:t>
      </w:r>
      <w:r>
        <w:t>Title 9‑A, section 8‑509,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§U1 (NEW). PL 1999, c. 401, §E1 (AMD). PL 1999, c. 762, §1 (AMD). PL 1999, c. 762, §5 (AFF). PL 2021, c. 150,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§1509-A. Payment by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§1509-A. Payment by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§1509-A. PAYMENT BY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