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§1510-B. NO LIABILITY FOR WILD ANIMAL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