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154</w:t>
        <w:t xml:space="preserve">.  </w:t>
      </w:r>
      <w:r>
        <w:rPr>
          <w:b/>
        </w:rPr>
        <w:t xml:space="preserve">Services to nonstate agencies</w:t>
      </w:r>
    </w:p>
    <w:p>
      <w:pPr>
        <w:jc w:val="both"/>
        <w:spacing w:before="100" w:after="100"/>
        <w:ind w:start="360"/>
        <w:ind w:firstLine="360"/>
      </w:pPr>
      <w:r>
        <w:rPr/>
      </w:r>
      <w:r>
        <w:rPr/>
      </w:r>
      <w:r>
        <w:t xml:space="preserve">Notwithstanding any other provision of law, the State Controller may establish an account within Other Special Revenue funds for the Treasurer of State to recover the cost of providing administrative services to the Maine Military Authority.</w:t>
      </w:r>
      <w:r>
        <w:t xml:space="preserve">  </w:t>
      </w:r>
      <w:r xmlns:wp="http://schemas.openxmlformats.org/drawingml/2010/wordprocessingDrawing" xmlns:w15="http://schemas.microsoft.com/office/word/2012/wordml">
        <w:rPr>
          <w:rFonts w:ascii="Arial" w:hAnsi="Arial" w:cs="Arial"/>
          <w:sz w:val="22"/>
          <w:szCs w:val="22"/>
        </w:rPr>
        <w:t xml:space="preserve">[PL 2001, c. 559, Pt. F,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559, §F1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§154. Services to nonstate agencies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§154. Services to nonstate agencies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§154. SERVICES TO NONSTATE AGENCIES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