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1550-A</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Department of Administrative and Financial Services, Office of the State Controller may establish an account within Other Special Revenue funds to recover the cost of providing accounting, payroll and other services provided by the office to the Maine Military Authority established in </w:t>
      </w:r>
      <w:r>
        <w:t>Title 37‑B, section 391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F, §2 (NEW);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§1550-A.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§1550-A.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