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Authorization of audit</w:t>
      </w:r>
    </w:p>
    <w:p>
      <w:pPr>
        <w:jc w:val="both"/>
        <w:spacing w:before="100" w:after="100"/>
        <w:ind w:start="360"/>
        <w:ind w:firstLine="360"/>
      </w:pPr>
      <w:r>
        <w:rPr/>
      </w:r>
      <w:r>
        <w:rPr/>
      </w:r>
      <w:r>
        <w:t xml:space="preserve">Whenever it seems advisable to the Governor, the Governor may cause the books and accounts of the State or any department or agency thereof to be audited and for that purpose may employ auditors other than those employed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1993, c. 410, Pt. C, §2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§74 (AMD). PL 1993, c. 410, Pt. C, §2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§1621. Authorization of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Authorization of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§1621. AUTHORIZATION OF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