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1676-A</w:t>
        <w:t xml:space="preserve">.  </w:t>
      </w:r>
      <w:r>
        <w:rPr>
          <w:b/>
        </w:rPr>
        <w:t xml:space="preserve">Transfer from Highway Fund Salary Plan</w:t>
      </w:r>
    </w:p>
    <w:p>
      <w:pPr>
        <w:jc w:val="both"/>
        <w:spacing w:before="100" w:after="100"/>
        <w:ind w:start="360"/>
        <w:ind w:firstLine="360"/>
      </w:pPr>
      <w:r>
        <w:rPr/>
      </w:r>
      <w:r>
        <w:rPr/>
      </w:r>
      <w:r>
        <w:t xml:space="preserve">Notwithstanding </w:t>
      </w:r>
      <w:r>
        <w:t>section 1585</w:t>
      </w:r>
      <w:r>
        <w:t xml:space="preserve">, available balances in the Highway Fund Salary Plan program in the Department of Administrative and Financial Services that are no longer required for the purposes for which they were allocated may be made available by financial order upon the recommendation of the State Budget Officer and approval of the Governor to be used to meet the fixed obligation of the Highway Fund for the unfunded actuarial liability in each fiscal year.  Any other available balances in the Highway Fund Salary Plan may only be used or made available in accordance with legislative authorization.</w:t>
      </w:r>
      <w:r>
        <w:t xml:space="preserve">  </w:t>
      </w:r>
      <w:r xmlns:wp="http://schemas.openxmlformats.org/drawingml/2010/wordprocessingDrawing" xmlns:w15="http://schemas.microsoft.com/office/word/2012/wordml">
        <w:rPr>
          <w:rFonts w:ascii="Arial" w:hAnsi="Arial" w:cs="Arial"/>
          <w:sz w:val="22"/>
          <w:szCs w:val="22"/>
        </w:rPr>
        <w:t xml:space="preserve">[PL 2001,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 §M1 (NEW). PL 2001, c. 219,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§1676-A. Transfer from Highway Fund Salary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§1676-A. Transfer from Highway Fund Salary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§1676-A. TRANSFER FROM HIGHWAY FUND SALARY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