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17053</w:t>
        <w:t xml:space="preserve">.  </w:t>
      </w:r>
      <w:r>
        <w:rPr>
          <w:b/>
        </w:rPr>
        <w:t xml:space="preserve">Exemption from taxation</w:t>
      </w:r>
    </w:p>
    <w:p>
      <w:pPr>
        <w:jc w:val="both"/>
        <w:spacing w:before="100" w:after="100"/>
        <w:ind w:start="360"/>
        <w:ind w:firstLine="360"/>
      </w:pPr>
      <w:r>
        <w:rPr/>
      </w:r>
      <w:r>
        <w:rPr/>
      </w:r>
      <w:r>
        <w:t xml:space="preserve">The money in the various funds created by this Part and any property owned by the retirement system are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2017, c. 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§17053.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§17053.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§17053.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