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17055</w:t>
        <w:t xml:space="preserve">.  </w:t>
      </w:r>
      <w:r>
        <w:rPr>
          <w:b/>
        </w:rPr>
        <w:t xml:space="preserve">Beneficiary who is an incapacitated person or a minor</w:t>
      </w:r>
    </w:p>
    <w:p>
      <w:pPr>
        <w:jc w:val="both"/>
        <w:spacing w:before="100" w:after="100"/>
        <w:ind w:start="360"/>
        <w:ind w:firstLine="360"/>
      </w:pPr>
      <w:r>
        <w:rPr/>
      </w:r>
      <w:r>
        <w:rPr/>
      </w:r>
      <w:r>
        <w:t xml:space="preserve">For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Election of benefit.</w:t>
        <w:t xml:space="preserve"> </w:t>
      </w:r>
      <w:r>
        <w:t xml:space="preserve"> </w:t>
      </w:r>
      <w:r>
        <w:t xml:space="preserve">If a beneficiary is not lawfully qualified to make an election, the election must be made for the beneficiary by the person authorized to do so by </w:t>
      </w:r>
      <w:r>
        <w:t>Title 18‑C, Article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§14 (AMD); PL 2019, c. 417, Pt. B, §14 (AFF).]</w:t>
      </w:r>
    </w:p>
    <w:p>
      <w:pPr>
        <w:jc w:val="both"/>
        <w:spacing w:before="100" w:after="0"/>
        <w:ind w:start="360"/>
        <w:ind w:firstLine="360"/>
      </w:pPr>
      <w:r>
        <w:rPr>
          <w:b/>
        </w:rPr>
        <w:t>2</w:t>
        <w:t xml:space="preserve">.  </w:t>
      </w:r>
      <w:r>
        <w:rPr>
          <w:b/>
        </w:rPr>
        <w:t xml:space="preserve">Payment of benefit.</w:t>
        <w:t xml:space="preserve"> </w:t>
      </w:r>
      <w:r>
        <w:t xml:space="preserve"> </w:t>
      </w:r>
      <w:r>
        <w:t xml:space="preserve">Payment of any benefit to an individual subject to guardianship, as defined in </w:t>
      </w:r>
      <w:r>
        <w:t>Title 18‑C, section 5‑102</w:t>
      </w:r>
      <w:r>
        <w:t xml:space="preserve">, or a minor must be made in accordance with </w:t>
      </w:r>
      <w:r>
        <w:t>Title 18‑C, Article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402, Pt. C, §14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§17055. Beneficiary who is an incapacitated person or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§17055. Beneficiary who is an incapacitated person or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§17055. BENEFICIARY WHO IS AN INCAPACITATED PERSON OR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