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1710-C</w:t>
        <w:t xml:space="preserve">.  </w:t>
      </w:r>
      <w:r>
        <w:rPr>
          <w:b/>
        </w:rPr>
        <w:t xml:space="preserve">Meetings</w:t>
      </w:r>
    </w:p>
    <w:p>
      <w:pPr>
        <w:jc w:val="both"/>
        <w:spacing w:before="100" w:after="100"/>
        <w:ind w:start="360"/>
        <w:ind w:firstLine="360"/>
      </w:pPr>
      <w:r>
        <w:rPr/>
      </w:r>
      <w:r>
        <w:rPr/>
      </w:r>
      <w:r>
        <w:t xml:space="preserve">The commission shall meet at least 3 times a year.  Additional meetings may be called by the chair or by any 3 members.  All meetings are open to the public.</w:t>
      </w:r>
      <w:r>
        <w:t xml:space="preserve">  </w:t>
      </w:r>
      <w:r xmlns:wp="http://schemas.openxmlformats.org/drawingml/2010/wordprocessingDrawing" xmlns:w15="http://schemas.microsoft.com/office/word/2012/wordml">
        <w:rPr>
          <w:rFonts w:ascii="Arial" w:hAnsi="Arial" w:cs="Arial"/>
          <w:sz w:val="22"/>
          <w:szCs w:val="22"/>
        </w:rPr>
        <w:t xml:space="preserve">[PL 2017, c. 284, Pt. 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2017, c. 284, Pt. N,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§1710-C.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§1710-C.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§1710-C.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