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1710-K</w:t>
        <w:t xml:space="preserve">.  </w:t>
      </w:r>
      <w:r>
        <w:rPr>
          <w:b/>
        </w:rPr>
        <w:t xml:space="preserve">Performance budgeting; definitions</w:t>
      </w:r>
    </w:p>
    <w:p>
      <w:pPr>
        <w:jc w:val="both"/>
        <w:spacing w:before="100" w:after="100"/>
        <w:ind w:start="360"/>
      </w:pPr>
      <w:r>
        <w:rPr>
          <w:b/>
        </w:rPr>
        <w:t>(REPEALED)</w:t>
      </w:r>
    </w:p>
    <w:p>
      <w:pPr>
        <w:jc w:val="both"/>
        <w:spacing w:before="100" w:after="100"/>
        <w:ind w:start="360"/>
        <w:ind w:firstLine="360"/>
      </w:pPr>
      <w:r>
        <w:rPr>
          <w:b/>
        </w:rPr>
      </w:r>
      <w:r>
        <w:rPr>
          <w:b/>
        </w:rPr>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§B1 (NEW). PL 1995, c. 705, §1 (RPR). PL 1997, c. 184, §§1-3 (AMD). PL 1997, c. 764, §1 (AMD). MRSA T. 5 §1710-Q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§1710-K. Performance budgeting;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§1710-K. Performance budgeting;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§1710-K. PERFORMANCE BUDGETING;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