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 provided that the interest credited to a member with less than 10 years of creditable service on contributions related to compensation for service rendered as a part-time, seasonal or temporary employee after December 31, 1991 must at least equal the yield of a 10-year United States treasury bond on the last business day of the previous calendar year reduced by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1991, c. 619, §5 (AMD);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§17156. Rate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§17156. RATE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