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17202</w:t>
        <w:t xml:space="preserve">.  </w:t>
      </w:r>
      <w:r>
        <w:rPr>
          <w:b/>
        </w:rPr>
        <w:t xml:space="preserve">Deduction adjustments</w:t>
      </w:r>
    </w:p>
    <w:p>
      <w:pPr>
        <w:jc w:val="both"/>
        <w:spacing w:before="100" w:after="100"/>
        <w:ind w:start="360"/>
        <w:ind w:firstLine="360"/>
      </w:pPr>
      <w:r>
        <w:rPr/>
      </w:r>
      <w:r>
        <w:rPr/>
      </w:r>
      <w:r>
        <w:t xml:space="preserve">In order to facilitate the making of deductions, the board may modify the deduction required of any member by an amount that does not exceed 1/10 of 1% of the member's annual rate of earnable compensation.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§17202. Deduction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§17202. Deduction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§17202. DEDUCTION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