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Investment trust fund.</w:t>
        <w:t xml:space="preserve"> </w:t>
      </w:r>
      <w:r>
        <w:t xml:space="preserve"> </w:t>
      </w:r>
      <w:r>
        <w:t xml:space="preserve">"Investment trust fund" means the Retiree Health Insurance Post-employment Benefits Investment Trust Fund established in </w:t>
      </w:r>
      <w:r>
        <w:t>section 17432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Assets of the investment trust fund.</w:t>
        <w:t xml:space="preserve"> </w:t>
      </w:r>
      <w:r>
        <w:t xml:space="preserve"> </w:t>
      </w:r>
      <w:r>
        <w:t xml:space="preserve">"Assets of the investment trust fund" means the funds appropriated or otherwise provided to fund the investment trust fund, together with the interest, earnings and returns on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trust fund agreement.</w:t>
        <w:t xml:space="preserve"> </w:t>
      </w:r>
      <w:r>
        <w:t xml:space="preserve"> </w:t>
      </w:r>
      <w:r>
        <w:t xml:space="preserve">"Investment trust fund agreement" means the trust agreement to be entered into by the State and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System.</w:t>
        <w:t xml:space="preserve"> </w:t>
      </w:r>
      <w:r>
        <w:t xml:space="preserve"> </w:t>
      </w:r>
      <w:r>
        <w:t xml:space="preserve">"System"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