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may, in its discretion, deny the right to become a member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Compensation partly paid by State.</w:t>
        <w:t xml:space="preserve"> </w:t>
      </w:r>
      <w:r>
        <w:t xml:space="preserve"> </w:t>
      </w:r>
      <w:r>
        <w:t xml:space="preserve">Any class of employees, except teachers, whose compensation is only partly paid by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Other than per annum payment.</w:t>
        <w:t xml:space="preserve"> </w:t>
      </w:r>
      <w:r>
        <w:t xml:space="preserve"> </w:t>
      </w:r>
      <w:r>
        <w:t xml:space="preserve">Any class of employees who are serving on a temporary basis or whose compensation is set on any basis other than a per annum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§17653.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