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17851</w:t>
      </w:r>
      <w:r>
        <w:t xml:space="preserve"> or </w:t>
      </w:r>
      <w:r>
        <w:t>17907</w:t>
      </w:r>
      <w:r>
        <w:t xml:space="preserve">.  A full month's benefit shall be paid to the beneficiary or estate of the recipient for the month in which the member dies.  A qualifying member may select payment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§9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§9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paid to himself while alive and at the qualifying member's death to have the excess, if any, of his accumulated contributions at the time of retirement over the portion of the total retirement benefit payments actually made to the qualifying member while alive, which is the actuarial equivalent of the accumulated contributions, paid in a lump sum to the beneficiary he has nominated by written designation duly acknowledged and filed with the chief executive officer or, if no one has been nominated as beneficiary, to his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himself while alive and at the qualifying member's death to have the benefit continued in the same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himself while alive and at the qualifying member's death to have the benefit continued at 1/2 the amount for the life of the beneficiary he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§7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§21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§22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§23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§24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§4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§8 (NEW).]</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and</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§25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§25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§10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§26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§27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§§26, 27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§§8-10 (AMD). PL 1989, c. 95, §§9,10 (AMD). PL 1999, c. 744, §§7-9 (AMD). PL 1999, c. 744, §17 (AFF). PL 1999, c. 790, §K1 (AMD). PL 1999, c. 790, §K5 (AFF). PL 2001, c. 118, §4 (AMD). PL 2007, c. 523, §2 (AMD). PL 2021, c. 548, §§21-27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