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17902</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The executive director shall obtain medical consultation on each applicant for disability retirement benefits in accordance with related rules established by the board.  Rules adopted pursuant to this paragraph are routine technical rules as defined in </w:t>
      </w:r>
      <w:r>
        <w:t>chapter 375, subchapter 2‑A</w:t>
      </w:r>
      <w:r>
        <w:t xml:space="preserve">.  Medical consultation obtained by the chief executive officer must be objective and be provided by a medical provider or medical providers qualified to review the case by specialty or experience and to whom the applicant is not known.</w:t>
      </w:r>
      <w:r>
        <w:t xml:space="preserve">  </w:t>
      </w:r>
      <w:r xmlns:wp="http://schemas.openxmlformats.org/drawingml/2010/wordprocessingDrawing" xmlns:w15="http://schemas.microsoft.com/office/word/2012/wordml">
        <w:rPr>
          <w:rFonts w:ascii="Arial" w:hAnsi="Arial" w:cs="Arial"/>
          <w:sz w:val="22"/>
          <w:szCs w:val="22"/>
        </w:rPr>
        <w:t xml:space="preserve">[PL 2021, c. 277, §19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§19 (AMD); PL 2021, c. 548, §45 (REV).]</w:t>
      </w:r>
    </w:p>
    <w:p>
      <w:pPr>
        <w:jc w:val="both"/>
        <w:spacing w:before="100" w:after="0"/>
        <w:ind w:start="360"/>
        <w:ind w:firstLine="360"/>
      </w:pPr>
      <w:r>
        <w:rPr>
          <w:b/>
        </w:rPr>
        <w:t>2</w:t>
        <w:t xml:space="preserve">.  </w:t>
      </w:r>
      <w:r>
        <w:rPr>
          <w:b/>
        </w:rPr>
        <w:t xml:space="preserve">Approval.</w:t>
        <w:t xml:space="preserve"> </w:t>
      </w:r>
      <w:r>
        <w:t xml:space="preserve"> </w:t>
      </w:r>
      <w:r>
        <w:t xml:space="preserve">The written application must be approved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§5 (AMD). PL 2017, c. 88, §22 (AMD). PL 2021, c. 277, §19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