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17911</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§20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§4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277,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§17911.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§17911.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§17911.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