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18056</w:t>
        <w:t xml:space="preserve">.  </w:t>
      </w:r>
      <w:r>
        <w:rPr>
          <w:b/>
        </w:rPr>
        <w:t xml:space="preserve">Coverage</w:t>
      </w:r>
    </w:p>
    <w:p>
      <w:pPr>
        <w:jc w:val="both"/>
        <w:spacing w:before="100" w:after="100"/>
        <w:ind w:start="360"/>
        <w:ind w:firstLine="360"/>
      </w:pPr>
      <w:r>
        <w:rPr>
          <w:b/>
        </w:rPr>
        <w:t>1</w:t>
        <w:t xml:space="preserve">.  </w:t>
      </w:r>
      <w:r>
        <w:rPr>
          <w:b/>
        </w:rPr>
        <w:t xml:space="preserve">Basic insurance.</w:t>
        <w:t xml:space="preserve"> </w:t>
      </w:r>
      <w:r>
        <w:t xml:space="preserve"> </w:t>
      </w:r>
      <w:r>
        <w:t xml:space="preserve">Life insurance and accidental death and dismemberment insurance, referred to as "basic insurance," must be available to all eligible participants.</w:t>
      </w:r>
    </w:p>
    <w:p>
      <w:pPr>
        <w:jc w:val="both"/>
        <w:spacing w:before="100" w:after="0"/>
        <w:ind w:start="720"/>
      </w:pPr>
      <w:r>
        <w:rPr/>
        <w:t>A</w:t>
        <w:t xml:space="preserve">.  </w:t>
      </w:r>
      <w:r>
        <w:rPr/>
      </w:r>
      <w:r>
        <w:t xml:space="preserve">Except as provided in </w:t>
      </w:r>
      <w:r>
        <w:t>paragraph A‑1</w:t>
      </w:r>
      <w:r>
        <w:t xml:space="preserve">, the amount of life insurance to be paid upon death is equal to the participant's annual base compensation rounded up to the next $1,000.</w:t>
      </w:r>
    </w:p>
    <w:p>
      <w:pPr>
        <w:jc w:val="both"/>
        <w:spacing w:before="100" w:after="0"/>
        <w:ind w:start="1080"/>
      </w:pPr>
      <w:r>
        <w:rPr/>
        <w:t>(</w:t>
        <w:t>1</w:t>
        <w:t xml:space="preserve">)  </w:t>
      </w:r>
      <w:r>
        <w:rPr/>
      </w:r>
      <w:r>
        <w:t xml:space="preserve">A participant insured under a basic insurance policy is automatically covered for any change in the maximum due to a change in annual base compensation.</w:t>
      </w:r>
    </w:p>
    <w:p>
      <w:pPr>
        <w:jc w:val="both"/>
        <w:spacing w:before="100" w:after="0"/>
        <w:ind w:start="1080"/>
      </w:pPr>
      <w:r>
        <w:rPr/>
        <w:t>(</w:t>
        <w:t>2</w:t>
        <w:t xml:space="preserve">)  </w:t>
      </w:r>
      <w:r>
        <w:rPr/>
      </w:r>
      <w:r>
        <w:t xml:space="preserve">The date of change in coverage under subparagraph (1) is the first day of the month of April following the effective date of the change in annual base compensation.</w:t>
      </w:r>
      <w:r>
        <w:t xml:space="preserve">  </w:t>
      </w:r>
      <w:r xmlns:wp="http://schemas.openxmlformats.org/drawingml/2010/wordprocessingDrawing" xmlns:w15="http://schemas.microsoft.com/office/word/2012/wordml">
        <w:rPr>
          <w:rFonts w:ascii="Arial" w:hAnsi="Arial" w:cs="Arial"/>
          <w:sz w:val="22"/>
          <w:szCs w:val="22"/>
        </w:rPr>
        <w:t xml:space="preserve">[PL 2009, c. 213, Pt. LL, §2 (AMD).]</w:t>
      </w:r>
    </w:p>
    <w:p>
      <w:pPr>
        <w:jc w:val="both"/>
        <w:spacing w:before="100" w:after="0"/>
        <w:ind w:start="720"/>
      </w:pPr>
      <w:r>
        <w:rPr/>
        <w:t>A-1</w:t>
        <w:t xml:space="preserve">.  </w:t>
      </w:r>
      <w:r>
        <w:rPr/>
      </w:r>
      <w:r>
        <w:t xml:space="preserve">For a Legislator, the amount of life insurance to be paid upon death is equal to the participant’s average annual legislative salary over the 2-year term of office rounded up to the next $1,000.  For the purposes of this section, "Legislator" includes the representatives of the Penobscot Nation and the Passamaquoddy Tribe at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213, Pt. LL, §2 (NEW).]</w:t>
      </w:r>
    </w:p>
    <w:p>
      <w:pPr>
        <w:jc w:val="both"/>
        <w:spacing w:before="100" w:after="0"/>
        <w:ind w:start="720"/>
      </w:pPr>
      <w:r>
        <w:rPr/>
        <w:t>B</w:t>
        <w:t xml:space="preserve">.  </w:t>
      </w:r>
      <w:r>
        <w:rPr/>
      </w:r>
      <w:r>
        <w:t xml:space="preserve">The accidental death and dismemberment insurance must provide payments as follows.</w:t>
      </w:r>
    </w:p>
    <w:p>
      <w:pPr>
        <w:jc w:val="both"/>
        <w:spacing w:before="100" w:after="0"/>
        <w:ind w:start="1080"/>
      </w:pPr>
      <w:r>
        <w:rPr/>
        <w:t>(</w:t>
        <w:t>1</w:t>
        <w:t xml:space="preserve">)  </w:t>
      </w:r>
      <w:r>
        <w:rPr/>
      </w:r>
      <w:r>
        <w:t xml:space="preserve">Losses and amounts payable are determined according to the following table.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507"/>
        <w:gridCol w:w="216"/>
        <w:gridCol w:w="3542"/>
      </w:tblGrid>
      <w:tr>
        <w:trPr>
          <w:cantSplit/>
        </w:trPr>
        <w:tc>
          <w:tcPr>
            <w:tcW w:w="4507" w:type="dxa"/>
          </w:tcPr>
          <w:p>
            <w:pPr>
              <w:jc w:val="center"/>
            </w:pPr>
            <w:r>
              <w:t xml:space="preserve">LOSS</w:t>
            </w:r>
          </w:p>
        </w:tc>
        <w:tc>
          <w:tcPr>
            <w:tcW w:w="216" w:type="dxa"/>
          </w:tcPr>
          <w:p>
            <w:pPr>
              <w:jc w:val="both"/>
            </w:pPr>
          </w:p>
        </w:tc>
        <w:tc>
          <w:tcPr>
            <w:tcW w:w="3542" w:type="dxa"/>
          </w:tcPr>
          <w:p>
            <w:pPr>
              <w:jc w:val="center"/>
            </w:pPr>
            <w:r>
              <w:t xml:space="preserve">AMOUNT PAYABLE</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life by Accident</w:t>
            </w:r>
          </w:p>
        </w:tc>
        <w:tc>
          <w:tcPr>
            <w:tcW w:w="216" w:type="dxa"/>
          </w:tcPr>
          <w:p>
            <w:pPr>
              <w:jc w:val="both"/>
            </w:pPr>
          </w:p>
        </w:tc>
        <w:tc>
          <w:tcPr>
            <w:tcW w:w="3542" w:type="dxa"/>
          </w:tcPr>
          <w:p>
            <w:pPr>
              <w:jc w:val="left"/>
            </w:pPr>
            <w:r>
              <w:t xml:space="preserve">An additional amount equal to that provided under this subsection</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one hand or foot or sight of one eye</w:t>
            </w:r>
          </w:p>
        </w:tc>
        <w:tc>
          <w:tcPr>
            <w:tcW w:w="216" w:type="dxa"/>
          </w:tcPr>
          <w:p>
            <w:pPr>
              <w:jc w:val="both"/>
            </w:pPr>
          </w:p>
        </w:tc>
        <w:tc>
          <w:tcPr>
            <w:tcW w:w="3542" w:type="dxa"/>
          </w:tcPr>
          <w:p>
            <w:pPr>
              <w:jc w:val="left"/>
            </w:pPr>
            <w:r>
              <w:t xml:space="preserve">One-half the amount provided under this subsection</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2 or more limbs or loss of both eyes or loss of one limb and loss of sight of one eye</w:t>
            </w:r>
          </w:p>
        </w:tc>
        <w:tc>
          <w:tcPr>
            <w:tcW w:w="216" w:type="dxa"/>
          </w:tcPr>
          <w:p>
            <w:pPr>
              <w:jc w:val="both"/>
            </w:pPr>
          </w:p>
        </w:tc>
        <w:tc>
          <w:tcPr>
            <w:tcW w:w="3542" w:type="dxa"/>
          </w:tcPr>
          <w:p>
            <w:pPr>
              <w:jc w:val="left"/>
            </w:pPr>
            <w:r>
              <w:t xml:space="preserve">The amount provided under this subsection</w:t>
            </w:r>
          </w:p>
        </w:tc>
      </w:tr>
    </w:tbl>
    <w:p>
      <w:pPr>
        <w:jc w:val="both"/>
        <w:spacing w:before="100" w:after="0"/>
        <w:ind w:start="1080"/>
      </w:pPr>
      <w:r>
        <w:rPr/>
        <w:t>(</w:t>
        <w:t>2</w:t>
        <w:t xml:space="preserve">)  </w:t>
      </w:r>
      <w:r>
        <w:rPr/>
      </w:r>
      <w:r>
        <w:t xml:space="preserve">For any one accident the aggregate amount of group accidental death and dismemberment insurance that may be paid may not exceed the amount provided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213, Pt. LL,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LL, §2 (AMD).]</w:t>
      </w:r>
    </w:p>
    <w:p>
      <w:pPr>
        <w:jc w:val="both"/>
        <w:spacing w:before="100" w:after="0"/>
        <w:ind w:start="360"/>
        <w:ind w:firstLine="360"/>
      </w:pPr>
      <w:r>
        <w:rPr>
          <w:b/>
        </w:rPr>
        <w:t>2</w:t>
        <w:t xml:space="preserve">.  </w:t>
      </w:r>
      <w:r>
        <w:rPr>
          <w:b/>
        </w:rPr>
        <w:t xml:space="preserve">Supplemental insurance.</w:t>
        <w:t xml:space="preserve"> </w:t>
      </w:r>
      <w:r>
        <w:t xml:space="preserve"> </w:t>
      </w:r>
      <w:r>
        <w:t xml:space="preserve">Additional insurance coverage of equal amounts to those described in </w:t>
      </w:r>
      <w:r>
        <w:t>subsection 1</w:t>
      </w:r>
      <w:r>
        <w:t xml:space="preserve">, to be known as "supplemental insurance," shall be available to each participant purchasing insurance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Dependent insurance.</w:t>
        <w:t xml:space="preserve"> </w:t>
      </w:r>
      <w:r>
        <w:t xml:space="preserve"> </w:t>
      </w:r>
      <w:r>
        <w:t xml:space="preserve">Each participant may elect to insure the life of a dependent not insured in the group covered under </w:t>
      </w:r>
      <w:r>
        <w:t>subsections 1</w:t>
      </w:r>
      <w:r>
        <w:t xml:space="preserve"> and </w:t>
      </w:r>
      <w:r>
        <w:t>2</w:t>
      </w:r>
      <w:r>
        <w:t xml:space="preserve">.</w:t>
      </w:r>
    </w:p>
    <w:p>
      <w:pPr>
        <w:jc w:val="both"/>
        <w:spacing w:before="100" w:after="0"/>
        <w:ind w:start="720"/>
      </w:pPr>
      <w:r>
        <w:rPr/>
        <w:t>A</w:t>
        <w:t xml:space="preserve">.  </w:t>
      </w:r>
      <w:r>
        <w:rPr/>
      </w:r>
      <w:r>
        <w:t xml:space="preserve">A participant may elect either Plan A or Plan B, but not both.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29"/>
        <w:gridCol w:w="821"/>
        <w:gridCol w:w="936"/>
      </w:tblGrid>
      <w:tr>
        <w:trPr>
          <w:cantSplit/>
        </w:trPr>
        <w:tc>
          <w:tcPr>
            <w:tcW w:w="3629" w:type="dxa"/>
          </w:tcPr>
          <w:p>
            <w:pPr>
              <w:jc w:val="both"/>
            </w:pPr>
          </w:p>
        </w:tc>
        <w:tc>
          <w:tcPr>
            <w:tcW w:w="821" w:type="dxa"/>
          </w:tcPr>
          <w:p>
            <w:pPr>
              <w:jc w:val="center"/>
            </w:pPr>
            <w:r>
              <w:t xml:space="preserve">Plan A</w:t>
            </w:r>
          </w:p>
        </w:tc>
        <w:tc>
          <w:tcPr>
            <w:tcW w:w="936" w:type="dxa"/>
          </w:tcPr>
          <w:p>
            <w:pPr>
              <w:jc w:val="center"/>
            </w:pPr>
            <w:r>
              <w:t xml:space="preserve">Plan B</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Spouse</w:t>
            </w:r>
          </w:p>
        </w:tc>
        <w:tc>
          <w:tcPr>
            <w:tcW w:w="821" w:type="dxa"/>
          </w:tcPr>
          <w:p>
            <w:pPr>
              <w:jc w:val="center"/>
            </w:pPr>
            <w:r>
              <w:t xml:space="preserve">$5,000</w:t>
            </w:r>
          </w:p>
        </w:tc>
        <w:tc>
          <w:tcPr>
            <w:tcW w:w="936" w:type="dxa"/>
          </w:tcPr>
          <w:p>
            <w:pPr>
              <w:jc w:val="center"/>
            </w:pPr>
            <w:r>
              <w:t xml:space="preserve">$10,000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Full-time unmarried students to age 22</w:t>
            </w:r>
          </w:p>
        </w:tc>
        <w:tc>
          <w:tcPr>
            <w:tcW w:w="821" w:type="dxa"/>
          </w:tcPr>
          <w:p>
            <w:pPr>
              <w:jc w:val="center"/>
            </w:pPr>
            <w:r>
              <w:t xml:space="preserve">$5,000</w:t>
            </w:r>
          </w:p>
        </w:tc>
        <w:tc>
          <w:tcPr>
            <w:tcW w:w="936" w:type="dxa"/>
          </w:tcPr>
          <w:p>
            <w:pPr>
              <w:jc w:val="center"/>
            </w:pPr>
            <w:r>
              <w:t xml:space="preserve">$5,000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Children, 6 months to age 19</w:t>
            </w:r>
          </w:p>
        </w:tc>
        <w:tc>
          <w:tcPr>
            <w:tcW w:w="821" w:type="dxa"/>
          </w:tcPr>
          <w:p>
            <w:pPr>
              <w:jc w:val="center"/>
            </w:pPr>
            <w:r>
              <w:t xml:space="preserve">$5,000</w:t>
            </w:r>
          </w:p>
        </w:tc>
        <w:tc>
          <w:tcPr>
            <w:tcW w:w="936" w:type="dxa"/>
          </w:tcPr>
          <w:p>
            <w:pPr>
              <w:jc w:val="center"/>
            </w:pPr>
            <w:r>
              <w:t xml:space="preserve">$5,000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Children, 0 to 6 months </w:t>
            </w:r>
          </w:p>
        </w:tc>
        <w:tc>
          <w:tcPr>
            <w:tcW w:w="821" w:type="dxa"/>
          </w:tcPr>
          <w:p>
            <w:pPr>
              <w:jc w:val="center"/>
            </w:pPr>
            <w:r>
              <w:t xml:space="preserve">$1,000</w:t>
            </w:r>
          </w:p>
        </w:tc>
        <w:tc>
          <w:tcPr>
            <w:tcW w:w="936" w:type="dxa"/>
          </w:tcPr>
          <w:p>
            <w:pPr>
              <w:jc w:val="center"/>
            </w:pPr>
            <w:r>
              <w:t xml:space="preserve">$2,500</w:t>
            </w:r>
          </w:p>
        </w:tc>
      </w:tr>
    </w:tbl>
    <w:p>
      <w:pPr>
        <w:ind w:start="720"/>
      </w:pP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Insurance purchased under this subsection is subject to the limitations of </w:t>
      </w:r>
      <w:r>
        <w:t>Title 24‑A, section 2611‑A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number of dependents may not affect the premium rate for insurance purchased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387, Pt. A, §15 (AMD).]</w:t>
      </w:r>
    </w:p>
    <w:p>
      <w:pPr>
        <w:jc w:val="both"/>
        <w:spacing w:before="100" w:after="0"/>
        <w:ind w:start="720"/>
      </w:pPr>
      <w:r>
        <w:rPr/>
        <w:t>D</w:t>
        <w:t xml:space="preserve">.  </w:t>
      </w:r>
      <w:r>
        <w:rPr/>
      </w:r>
      <w:r>
        <w:t xml:space="preserve">Any participant who is a participant through employment with 2 or more employers may not insure that participant's dependents more than once.</w:t>
      </w:r>
      <w:r>
        <w:t xml:space="preserve">  </w:t>
      </w:r>
      <w:r xmlns:wp="http://schemas.openxmlformats.org/drawingml/2010/wordprocessingDrawing" xmlns:w15="http://schemas.microsoft.com/office/word/2012/wordml">
        <w:rPr>
          <w:rFonts w:ascii="Arial" w:hAnsi="Arial" w:cs="Arial"/>
          <w:sz w:val="22"/>
          <w:szCs w:val="22"/>
        </w:rPr>
        <w:t xml:space="preserve">[PL 1991, c. 480,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§12 (AMD). PL 1991, c. 480, §§3,4 (AMD). PL 1993, c. 387, §A15 (AMD). PL 1993, c. 387, Pt. A, §15 (AMD). PL 2009, c. 213, Pt. LL,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§18056.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§18056.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§18056.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