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1825-H</w:t>
        <w:t xml:space="preserve">.  </w:t>
      </w:r>
      <w:r>
        <w:rPr>
          <w:b/>
        </w:rPr>
        <w:t xml:space="preserve">Deadline for adoption of rules</w:t>
      </w:r>
    </w:p>
    <w:p>
      <w:pPr>
        <w:jc w:val="both"/>
        <w:spacing w:before="100" w:after="100"/>
        <w:ind w:start="360"/>
        <w:ind w:firstLine="360"/>
      </w:pPr>
      <w:r>
        <w:rPr/>
      </w:r>
      <w:r>
        <w:rPr/>
      </w:r>
      <w:r>
        <w:t xml:space="preserve">The State Purchasing Agent shall adopt rules implementing this subchapter no later than January 1, 1991.</w:t>
      </w:r>
      <w:r>
        <w:t xml:space="preserve">  </w:t>
      </w:r>
      <w:r xmlns:wp="http://schemas.openxmlformats.org/drawingml/2010/wordprocessingDrawing" xmlns:w15="http://schemas.microsoft.com/office/word/2012/wordml">
        <w:rPr>
          <w:rFonts w:ascii="Arial" w:hAnsi="Arial" w:cs="Arial"/>
          <w:sz w:val="22"/>
          <w:szCs w:val="22"/>
        </w:rPr>
        <w:t xml:space="preserve">[PL 1989, c. 785,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§1825-H. Deadline for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§1825-H. Deadline for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§1825-H. DEADLINE FOR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