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18352</w:t>
        <w:t xml:space="preserve">.  </w:t>
      </w:r>
      <w:r>
        <w:rPr>
          <w:b/>
        </w:rPr>
        <w:t xml:space="preserve">Service credit for prior service</w:t>
      </w:r>
    </w:p>
    <w:p>
      <w:pPr>
        <w:jc w:val="both"/>
        <w:spacing w:before="100" w:after="0"/>
        <w:ind w:start="360"/>
        <w:ind w:firstLine="360"/>
      </w:pPr>
      <w:r>
        <w:rPr>
          <w:b/>
        </w:rPr>
        <w:t>1</w:t>
        <w:t xml:space="preserve">.  </w:t>
      </w:r>
      <w:r>
        <w:rPr>
          <w:b/>
        </w:rPr>
        <w:t xml:space="preserve">Determination.</w:t>
        <w:t xml:space="preserve"> </w:t>
      </w:r>
      <w:r>
        <w:t xml:space="preserve"> </w:t>
      </w:r>
      <w:r>
        <w:t xml:space="preserve">Service credit for prior service may be allowed in accordance with </w:t>
      </w:r>
      <w:r>
        <w:t>section 18358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Election by district.</w:t>
        <w:t xml:space="preserve"> </w:t>
      </w:r>
      <w:r>
        <w:t xml:space="preserve"> </w:t>
      </w:r>
      <w:r>
        <w:t xml:space="preserve">A participating local district may elect to include for all employees of the district service credit for prior service in excess of 25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Verification of prior service.</w:t>
        <w:t xml:space="preserve"> </w:t>
      </w:r>
      <w:r>
        <w:t xml:space="preserve"> </w:t>
      </w:r>
      <w:r>
        <w:t xml:space="preserve">Upon verification of the length of service rendered before the applicable date of establishment of the retirement system for a particular member, the board shall grant service credit for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§18352. Service credit for prior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§18352. Service credit for prior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§18352. SERVICE CREDIT FOR PRIOR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