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§34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he qualifies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18403, subsection 4</w:t>
      </w:r>
      <w:r>
        <w:t xml:space="preserve">, and </w:t>
      </w:r>
      <w:r>
        <w:t>section 18553, subsection 8</w:t>
      </w:r>
      <w:r>
        <w:t xml:space="preserve">, if a beneficiary elects a benefit after receiving reasonable notification of available options from the retirement system, the beneficiary's election of a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 PL 1991, c. 548,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§18412. Limitation 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§18412. Limitation 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§18412. LIMITATION 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