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18503</w:t>
        <w:t xml:space="preserve">.  </w:t>
      </w:r>
      <w:r>
        <w:rPr>
          <w:b/>
        </w:rPr>
        <w:t xml:space="preserve">Examination or tests</w:t>
      </w:r>
    </w:p>
    <w:p>
      <w:pPr>
        <w:jc w:val="both"/>
        <w:spacing w:before="100" w:after="100"/>
        <w:ind w:start="360"/>
        <w:ind w:firstLine="360"/>
      </w:pPr>
      <w:r>
        <w:rPr/>
      </w:r>
      <w:r>
        <w:rPr/>
      </w:r>
      <w:r>
        <w:t xml:space="preserve">The examination or tests to determine whether a member is disabled under </w:t>
      </w:r>
      <w:r>
        <w:t>section 18501</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 or tests must be conducted by a health care provider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 or tests must be conducted at the health care provider's office or facility or at a place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§31 (AMD). PL 2021, c. 277, §32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§18503. Examination or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§18503. Examination or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§18503. EXAMINATION OR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