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18528</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18524</w:t>
      </w:r>
      <w:r>
        <w:t xml:space="preserve"> retires, after approval for disability retirement by the chief executive officer in accordance with </w:t>
      </w:r>
      <w:r>
        <w:t>section 18525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§26 (AMD); PL 2021, c. 548, §45 (REV).]</w:t>
      </w:r>
    </w:p>
    <w:p>
      <w:pPr>
        <w:jc w:val="both"/>
        <w:spacing w:before="100" w:after="100"/>
        <w:ind w:start="360"/>
        <w:ind w:firstLine="360"/>
      </w:pPr>
      <w:r>
        <w:rPr/>
      </w:r>
      <w:r>
        <w:rPr/>
      </w:r>
      <w:r>
        <w:t xml:space="preserve">A member who by election remains covered, as to qualification for benefits, under </w:t>
      </w:r>
      <w:r>
        <w:t>section 18524</w:t>
      </w:r>
      <w:r>
        <w:t xml:space="preserve"> as written prior to its amendment by Public Law 1991, chapter 887, section 15, qualifies for a disability retirement benefit on meeting the requirements of </w:t>
      </w:r>
      <w:r>
        <w:t>section 18524,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§14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§16 (AMD). PL 1993, c. 595, §12 (AMD). PL 1995, c. 643, §26 (AMD). PL 1997, c. 384, §14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§18528.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§18528.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§18528.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