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and employees who choose not to become members but participate in the defined contribution plan pursuant to </w:t>
      </w:r>
      <w:r>
        <w:t>section 18801, subsection 1</w:t>
      </w:r>
      <w:r>
        <w:t xml:space="preserve">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§2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§18701. Long-term disability insurance coverage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§18701. Long-term disability insurance coverage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§18701. LONG-TERM DISABILITY INSURANCE COVERAGE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