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§200-B. Authority of Attorney General to request utility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§200-B. AUTHORITY OF ATTORNEY GENERAL TO REQUEST UTILITY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