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20024</w:t>
        <w:t xml:space="preserve">.  </w:t>
      </w:r>
      <w:r>
        <w:rPr>
          <w:b/>
        </w:rPr>
        <w:t xml:space="preserve">Licensing</w:t>
      </w:r>
    </w:p>
    <w:p>
      <w:pPr>
        <w:jc w:val="both"/>
        <w:spacing w:before="100" w:after="100"/>
        <w:ind w:start="360"/>
        <w:ind w:firstLine="360"/>
      </w:pPr>
      <w:r>
        <w:rPr/>
      </w:r>
      <w:r>
        <w:rPr/>
      </w:r>
      <w:r>
        <w:t xml:space="preserve">The department shall periodically enter, inspect and examine a treatment facility or program and examine its books, programs, standards, policies and accounts.  This examination process must include a review of the requirements to be a community-based service provider pursuant to </w:t>
      </w:r>
      <w:r>
        <w:t>subchapter 5</w:t>
      </w:r>
      <w:r>
        <w:t xml:space="preserve">.  The department shall fix and collect the fees for the inspection and certification and shall maintain a list of approved public and private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Upon request by the department, each approved public and private treatment facility must provide data, statistics, schedules and information that the department reasonably requires.  The commissioner may remove a facility that fails to provide such information from the list of approved  facilities.</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An approved public or private treatment facility may not refuse inspection or examination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657, Pt. AA, §33 (AMD).]</w:t>
      </w:r>
    </w:p>
    <w:p>
      <w:pPr>
        <w:jc w:val="both"/>
        <w:spacing w:before="100" w:after="100"/>
        <w:ind w:start="360"/>
        <w:ind w:firstLine="360"/>
      </w:pPr>
      <w:r>
        <w:rPr/>
      </w:r>
      <w:r>
        <w:rPr/>
      </w:r>
      <w:r>
        <w:t xml:space="preserve">Procedures to decertify any facility or to refuse certification are governed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1991, c. 601, §19 (NEW).]</w:t>
      </w:r>
    </w:p>
    <w:p>
      <w:pPr>
        <w:jc w:val="both"/>
        <w:spacing w:before="100" w:after="100"/>
        <w:ind w:start="360"/>
        <w:ind w:firstLine="360"/>
      </w:pPr>
      <w:r>
        <w:rPr/>
      </w:r>
      <w:r>
        <w:rPr/>
      </w:r>
      <w:r>
        <w:t xml:space="preserve">A treatment facility or program that receives and maintains accreditation from a national accrediting body approved by the department must be deemed in compliance with comparable state licensing rules upon its submission to the department of written evidence of compliance including, but not limited to, national accreditation approval, reports, findings and responses.  The department may review compliance under this paragraph in response to a complaint against the facility or program.</w:t>
      </w:r>
      <w:r>
        <w:t xml:space="preserve">  </w:t>
      </w:r>
      <w:r xmlns:wp="http://schemas.openxmlformats.org/drawingml/2010/wordprocessingDrawing" xmlns:w15="http://schemas.microsoft.com/office/word/2012/wordml">
        <w:rPr>
          <w:rFonts w:ascii="Arial" w:hAnsi="Arial" w:cs="Arial"/>
          <w:sz w:val="22"/>
          <w:szCs w:val="22"/>
        </w:rPr>
        <w:t xml:space="preserve">[PL 2011,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§§18,19 (AMD). PL 1991, c. 850, §5 (AMD). PL 2011, c. 145, §1 (AMD). PL 2011, c. 657, Pt. AA,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§20024.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§20024.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§20024.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