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w:t>
        <w:t xml:space="preserve">.  </w:t>
      </w:r>
      <w:r>
        <w:rPr>
          <w:b/>
        </w:rPr>
        <w:t xml:space="preserve">Civil actions for injunctive relief or other remedies</w:t>
      </w:r>
    </w:p>
    <w:p>
      <w:pPr>
        <w:jc w:val="both"/>
        <w:spacing w:before="100" w:after="100"/>
        <w:ind w:start="360"/>
        <w:ind w:firstLine="360"/>
      </w:pPr>
      <w:r>
        <w:rPr/>
      </w:r>
      <w:r>
        <w:rPr/>
      </w:r>
      <w:r>
        <w:t xml:space="preserve">A state employee who alleges a violation of his rights under this chapter may bring a civil action, including an action for injunctive relief, within 120 days after the occurrence of that alleged violation.  The action may be brought in the Superior Court for the county where the alleged violation occurred, the county where the complainant resides or the county where the person against whom the civil complaint is filed resides.</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w:pPr>
        <w:jc w:val="both"/>
        <w:spacing w:before="100" w:after="100"/>
        <w:ind w:start="360"/>
        <w:ind w:firstLine="360"/>
      </w:pPr>
      <w:r>
        <w:rPr/>
      </w:r>
      <w:r>
        <w:rPr/>
      </w:r>
      <w:r>
        <w:t xml:space="preserve">An employee shall establish each and every element of his case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§28. Civil actions for injunctive relief or other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 Civil actions for injunctive relief or other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 CIVIL ACTIONS FOR INJUNCTIVE RELIEF OR OTHER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