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Status of employees of other governments</w:t>
      </w:r>
    </w:p>
    <w:p>
      <w:pPr>
        <w:jc w:val="both"/>
        <w:spacing w:before="100" w:after="0"/>
        <w:ind w:start="360"/>
        <w:ind w:firstLine="360"/>
      </w:pPr>
      <w:r>
        <w:rPr>
          <w:b/>
        </w:rPr>
        <w:t>1</w:t>
        <w:t xml:space="preserve">.  </w:t>
      </w:r>
      <w:r>
        <w:rPr>
          <w:b/>
        </w:rPr>
        <w:t xml:space="preserve">Appointment or on detail.</w:t>
        <w:t xml:space="preserve"> </w:t>
      </w:r>
      <w:r>
        <w:t xml:space="preserve"> </w:t>
      </w:r>
      <w:r>
        <w:t xml:space="preserve">When any unit of government of this State acts as a receiving agency, employees of the sending agency who are assigned under authority of this chapter may be given appointments in the receiving agency covering the periods of such assignments, with compensation to be paid from receiving agency funds or without compensation, or be considered to be on detail to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2</w:t>
        <w:t xml:space="preserve">.  </w:t>
      </w:r>
      <w:r>
        <w:rPr>
          <w:b/>
        </w:rPr>
        <w:t xml:space="preserve">Laws or regulations not governing.</w:t>
        <w:t xml:space="preserve"> </w:t>
      </w:r>
      <w:r>
        <w:t xml:space="preserve"> </w:t>
      </w:r>
      <w:r>
        <w:t xml:space="preserve">Appointments of persons so assigned may be made without regard to the laws or regulations governing the selection of employees of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3</w:t>
        <w:t xml:space="preserve">.  </w:t>
      </w:r>
      <w:r>
        <w:rPr>
          <w:b/>
        </w:rPr>
        <w:t xml:space="preserve">Not employees.</w:t>
        <w:t xml:space="preserve"> </w:t>
      </w:r>
      <w:r>
        <w:t xml:space="preserve"> </w:t>
      </w:r>
      <w:r>
        <w:t xml:space="preserve">Employees who are detailed to the receiving agency shall not by virtue of such detail be considered to be employees thereof, except as provided in </w:t>
      </w:r>
      <w:r>
        <w:t>subsection 4</w:t>
      </w:r>
      <w:r>
        <w:t xml:space="preserve">, nor shall they be paid a salary or wage by the receiving agency during the period of their detail. The supervision of the duties of such employees during the period of detail may be governed by agreement between the sending agency and the receiving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w:pPr>
        <w:jc w:val="both"/>
        <w:spacing w:before="100" w:after="0"/>
        <w:ind w:start="360"/>
        <w:ind w:firstLine="360"/>
      </w:pPr>
      <w:r>
        <w:rPr>
          <w:b/>
        </w:rPr>
        <w:t>4</w:t>
        <w:t xml:space="preserve">.  </w:t>
      </w:r>
      <w:r>
        <w:rPr>
          <w:b/>
        </w:rPr>
        <w:t xml:space="preserve">Disability or death.</w:t>
        <w:t xml:space="preserve"> </w:t>
      </w:r>
      <w:r>
        <w:t xml:space="preserve"> </w:t>
      </w:r>
      <w:r>
        <w:t xml:space="preserve">Any employee of a sending agency assigned in this State who suffers disability or death as a result of personal injury arising out of and in the course of such assignment, or sustained in the performance of duties in connection therewith, shall be treated for the purpose of receiving agency's employee compensation program, as an employee, as defined in such Act, who has sustained such injury in the performance of such duty, but shall not receive benefits under that Act for any period for which he elects to receive similar benefits as an employee under the sending agency's employee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§3006. Status of employees of other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Status of employees of other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§3006. STATUS OF EMPLOYEES OF OTHER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