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Director</w:t>
      </w:r>
    </w:p>
    <w:p>
      <w:pPr>
        <w:jc w:val="both"/>
        <w:spacing w:before="100" w:after="100"/>
        <w:ind w:start="360"/>
        <w:ind w:firstLine="360"/>
      </w:pPr>
      <w:r>
        <w:rPr/>
      </w:r>
      <w:r>
        <w:rPr/>
      </w:r>
      <w:r>
        <w:t xml:space="preserve">The Director of the Office of Policy Innovation and the Future is appointed by the Governor and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2021, c. 293,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343, Pt. D, §8 (AMD). PL 2019, c. 383, §3 (AMD). PL 2021, c. 293, Pt. A,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§3103.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§3103.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